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ED0397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7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От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июля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Будилова А.О., Левенкова И. 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D0397">
        <w:rPr>
          <w:rFonts w:ascii="Times New Roman" w:hAnsi="Times New Roman" w:cs="Times New Roman"/>
          <w:sz w:val="24"/>
          <w:szCs w:val="24"/>
        </w:rPr>
        <w:t>1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5</w:t>
      </w:r>
      <w:r w:rsidR="00ED03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 xml:space="preserve">шему обслуживающему персоналу: </w:t>
      </w:r>
      <w:r w:rsidR="00ED0397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  <w:r w:rsidR="00ED0397">
        <w:rPr>
          <w:rFonts w:ascii="Times New Roman" w:hAnsi="Times New Roman" w:cs="Times New Roman"/>
          <w:sz w:val="24"/>
          <w:szCs w:val="24"/>
        </w:rPr>
        <w:t>756,76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 xml:space="preserve">го обслуживающего персонала: </w:t>
      </w:r>
      <w:r w:rsidR="00ED0397">
        <w:rPr>
          <w:rFonts w:ascii="Times New Roman" w:hAnsi="Times New Roman" w:cs="Times New Roman"/>
          <w:sz w:val="24"/>
          <w:szCs w:val="24"/>
        </w:rPr>
        <w:t>248,23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 w:rsidR="00ED0397">
        <w:rPr>
          <w:rFonts w:ascii="Times New Roman" w:hAnsi="Times New Roman" w:cs="Times New Roman"/>
          <w:sz w:val="24"/>
          <w:szCs w:val="24"/>
        </w:rPr>
        <w:t xml:space="preserve"> педагогических работников: 56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</w:t>
      </w:r>
      <w:r w:rsidR="00ED0397">
        <w:rPr>
          <w:rFonts w:ascii="Times New Roman" w:hAnsi="Times New Roman" w:cs="Times New Roman"/>
          <w:sz w:val="24"/>
          <w:szCs w:val="24"/>
        </w:rPr>
        <w:t>нала: 35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 руб..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>Будилова А.О., Левенкова И. В.</w:t>
      </w:r>
    </w:p>
    <w:p w:rsidR="005135FB" w:rsidRPr="007D548F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17789F"/>
    <w:rsid w:val="005135FB"/>
    <w:rsid w:val="00762BE0"/>
    <w:rsid w:val="0094470A"/>
    <w:rsid w:val="00ED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A2EA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3</cp:revision>
  <dcterms:created xsi:type="dcterms:W3CDTF">2018-10-10T08:44:00Z</dcterms:created>
  <dcterms:modified xsi:type="dcterms:W3CDTF">2018-10-11T02:05:00Z</dcterms:modified>
</cp:coreProperties>
</file>