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8D" w:rsidRDefault="0049568D" w:rsidP="0049568D">
      <w:pPr>
        <w:tabs>
          <w:tab w:val="left" w:pos="3825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План познавательного мероприятия из цикла проектов «Экология глазами детей». </w:t>
      </w:r>
    </w:p>
    <w:tbl>
      <w:tblPr>
        <w:tblW w:w="1015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8"/>
        <w:gridCol w:w="522"/>
        <w:gridCol w:w="522"/>
        <w:gridCol w:w="522"/>
        <w:gridCol w:w="783"/>
        <w:gridCol w:w="522"/>
        <w:gridCol w:w="522"/>
        <w:gridCol w:w="654"/>
      </w:tblGrid>
      <w:tr w:rsidR="0049568D" w:rsidTr="0049568D">
        <w:trPr>
          <w:trHeight w:val="4018"/>
        </w:trPr>
        <w:tc>
          <w:tcPr>
            <w:tcW w:w="10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8D" w:rsidRDefault="004956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ноябрь 2017г  Тема пед. мероприятия  «Школа юных экологов»</w:t>
            </w:r>
            <w:r w:rsidR="007F673E">
              <w:rPr>
                <w:b/>
                <w:sz w:val="22"/>
                <w:szCs w:val="22"/>
              </w:rPr>
              <w:t xml:space="preserve"> (5-6 лет)</w:t>
            </w:r>
          </w:p>
          <w:p w:rsidR="0049568D" w:rsidRDefault="004956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Цель: </w:t>
            </w:r>
            <w:r>
              <w:rPr>
                <w:sz w:val="22"/>
                <w:szCs w:val="22"/>
              </w:rPr>
              <w:t>Создание условий для расширения знаний детей и их систематизации по теме «Экология. Защита окружающей среды», освоения новых приёмов работы в коллективе.  Организация деятельности воспитанников для комфортной работы по усвоению нового материала, их дальнейшей самостоятельной деятельности, включающей элементы вновь приобретенных навыков и умений.</w:t>
            </w:r>
          </w:p>
          <w:p w:rsidR="0049568D" w:rsidRDefault="004956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Задачи (по этапам деятельности): </w:t>
            </w:r>
          </w:p>
          <w:p w:rsidR="0049568D" w:rsidRDefault="0049568D">
            <w:pPr>
              <w:numPr>
                <w:ilvl w:val="0"/>
                <w:numId w:val="1"/>
              </w:numPr>
            </w:pPr>
            <w:r>
              <w:rPr>
                <w:b/>
                <w:sz w:val="22"/>
                <w:szCs w:val="22"/>
              </w:rPr>
              <w:t>Организационный –</w:t>
            </w:r>
            <w:r>
              <w:t xml:space="preserve"> активизировать познавательный интерес, создать благоприятную эмоциональную атмосферу;</w:t>
            </w:r>
          </w:p>
          <w:p w:rsidR="0049568D" w:rsidRDefault="0049568D">
            <w:pPr>
              <w:numPr>
                <w:ilvl w:val="0"/>
                <w:numId w:val="1"/>
              </w:numPr>
            </w:pPr>
            <w:r>
              <w:rPr>
                <w:b/>
              </w:rPr>
              <w:t>Осн.часть</w:t>
            </w:r>
            <w:r>
              <w:t xml:space="preserve"> –расширять и обогащать знания о природе и способах её защиты от пагубных действий человека; развивать  коммуникативные навыки, а также умение логически мыслить и делать выводы, анализируя причинно-следственные связи; развивать эмоциональность и выразительность речи дошкольников  по средством ознакомления со способами охраны окружающей среды;</w:t>
            </w:r>
          </w:p>
          <w:p w:rsidR="0049568D" w:rsidRDefault="0049568D" w:rsidP="004956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Заключение, рефлексия</w:t>
            </w:r>
            <w:r>
              <w:t xml:space="preserve"> – формирование  у детей  представлений о предмете изучения экологии, способах исследования и познания окружающей действительности, а также формирование умения выделять и использовать полученные знания для планирования своей самостоятельной деятельности при работе с портфолио творческих работ по экологии.</w:t>
            </w:r>
          </w:p>
        </w:tc>
      </w:tr>
      <w:tr w:rsidR="0049568D" w:rsidTr="0049568D">
        <w:trPr>
          <w:trHeight w:val="2100"/>
        </w:trPr>
        <w:tc>
          <w:tcPr>
            <w:tcW w:w="10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8D" w:rsidRDefault="0049568D">
            <w:pPr>
              <w:pStyle w:val="a3"/>
              <w:spacing w:before="0" w:beforeAutospacing="0" w:after="0" w:afterAutospacing="0"/>
              <w:ind w:left="180"/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Планируемые  результаты: </w:t>
            </w:r>
          </w:p>
          <w:p w:rsidR="0049568D" w:rsidRDefault="0049568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>
              <w:t>Активизация   мыслительного процесса и познавательного интереса</w:t>
            </w:r>
          </w:p>
          <w:p w:rsidR="0049568D" w:rsidRDefault="007F673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>
              <w:t>Воспитание эмпатии ко всему живому, чувства сопереживания и сострадания.</w:t>
            </w:r>
          </w:p>
          <w:p w:rsidR="0049568D" w:rsidRDefault="0049568D" w:rsidP="007F673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>
              <w:t>Формирование навыков общения и коллективного творчества</w:t>
            </w:r>
          </w:p>
          <w:p w:rsidR="0049568D" w:rsidRDefault="0049568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>Становление инициативности и самостоятельности.</w:t>
            </w:r>
          </w:p>
          <w:p w:rsidR="007F673E" w:rsidRDefault="007F673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>Проявление самостоятельной творческой деятельности.</w:t>
            </w:r>
          </w:p>
          <w:p w:rsidR="0049568D" w:rsidRDefault="0049568D" w:rsidP="007F673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Материалы и оборудование: </w:t>
            </w:r>
            <w:r w:rsidR="007F673E">
              <w:rPr>
                <w:sz w:val="22"/>
                <w:szCs w:val="22"/>
              </w:rPr>
              <w:t xml:space="preserve">индивидуальные </w:t>
            </w:r>
            <w:r w:rsidR="007F673E" w:rsidRPr="007F673E">
              <w:rPr>
                <w:sz w:val="22"/>
                <w:szCs w:val="22"/>
              </w:rPr>
              <w:t>портфолио с заданиями</w:t>
            </w:r>
            <w:r w:rsidR="007F673E">
              <w:rPr>
                <w:b/>
                <w:sz w:val="22"/>
                <w:szCs w:val="22"/>
              </w:rPr>
              <w:t xml:space="preserve">, </w:t>
            </w:r>
            <w:r w:rsidR="007F673E">
              <w:rPr>
                <w:sz w:val="22"/>
                <w:szCs w:val="22"/>
              </w:rPr>
              <w:t>листы формата А3 для макета, канцелярские при</w:t>
            </w:r>
            <w:r>
              <w:rPr>
                <w:sz w:val="22"/>
                <w:szCs w:val="22"/>
              </w:rPr>
              <w:t>надлежности, маски театральные, проектор, ноутбук, обручи, мячи</w:t>
            </w:r>
            <w:r w:rsidR="007F673E">
              <w:rPr>
                <w:sz w:val="22"/>
                <w:szCs w:val="22"/>
              </w:rPr>
              <w:t>, надувные шарики, палочки деревянные.</w:t>
            </w:r>
          </w:p>
        </w:tc>
      </w:tr>
      <w:tr w:rsidR="0049568D" w:rsidTr="0049568D">
        <w:trPr>
          <w:trHeight w:val="271"/>
        </w:trPr>
        <w:tc>
          <w:tcPr>
            <w:tcW w:w="10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8D" w:rsidRDefault="0049568D">
            <w:pPr>
              <w:jc w:val="center"/>
              <w:rPr>
                <w:b/>
              </w:rPr>
            </w:pPr>
            <w:r>
              <w:rPr>
                <w:b/>
              </w:rPr>
              <w:t>Этапы:</w:t>
            </w:r>
          </w:p>
        </w:tc>
      </w:tr>
      <w:tr w:rsidR="0049568D" w:rsidTr="0049568D">
        <w:trPr>
          <w:trHeight w:val="1761"/>
        </w:trPr>
        <w:tc>
          <w:tcPr>
            <w:tcW w:w="10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8D" w:rsidRPr="007F673E" w:rsidRDefault="00301593" w:rsidP="007F6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1.Организационный момент (проблемная ситуация, проблемный вопрос, мотивация (игровая, мотивация общения в условиях помощи взрослому, мотивация личной заинтересованности)  - педагог обращается к детям с вопросом о том, что такое экология, и кто такие экологи. </w:t>
            </w:r>
            <w:r w:rsidR="007F673E">
              <w:rPr>
                <w:sz w:val="22"/>
                <w:szCs w:val="22"/>
              </w:rPr>
              <w:t xml:space="preserve">Дети должны высказать свои идей или догадки, объяснив, почему они думают именно так. Далее педагог демонстрирует первые слайды презентации, дополняя ответы детей. Когда на экране появляется эмблема </w:t>
            </w:r>
            <w:r>
              <w:rPr>
                <w:sz w:val="22"/>
                <w:szCs w:val="22"/>
                <w:lang w:val="en-US"/>
              </w:rPr>
              <w:t>Greenpeace</w:t>
            </w:r>
            <w:r w:rsidR="007F673E">
              <w:rPr>
                <w:sz w:val="22"/>
                <w:szCs w:val="22"/>
              </w:rPr>
              <w:t xml:space="preserve">, педагог просит детей описать её, попутно рассказывая, чем занимается эта организация. Итоговый вопрос организационной части </w:t>
            </w:r>
            <w:r w:rsidR="00626757">
              <w:rPr>
                <w:sz w:val="22"/>
                <w:szCs w:val="22"/>
              </w:rPr>
              <w:t>–«хочу ли я стать юным экологом»</w:t>
            </w:r>
          </w:p>
        </w:tc>
      </w:tr>
      <w:tr w:rsidR="0049568D" w:rsidTr="0049568D">
        <w:trPr>
          <w:trHeight w:val="244"/>
        </w:trPr>
        <w:tc>
          <w:tcPr>
            <w:tcW w:w="10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8D" w:rsidRDefault="0049568D" w:rsidP="00626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2.Основная часть – </w:t>
            </w:r>
            <w:r w:rsidR="00626757">
              <w:rPr>
                <w:sz w:val="22"/>
                <w:szCs w:val="22"/>
              </w:rPr>
              <w:t>педагог предлагает детям прослушать отрывок звуков (шум городских пробок) и сказать что это, и как можно догадаться о том, что это именно городские звуки. Далее- просмотр и обсуждение вопроса о том, как город  и человек взаимодействует с природой и окружающей средой.</w:t>
            </w:r>
          </w:p>
        </w:tc>
      </w:tr>
      <w:tr w:rsidR="0049568D" w:rsidTr="0049568D">
        <w:trPr>
          <w:trHeight w:val="244"/>
        </w:trPr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8D" w:rsidRDefault="0049568D">
            <w:pPr>
              <w:jc w:val="center"/>
              <w:rPr>
                <w:sz w:val="22"/>
                <w:szCs w:val="22"/>
              </w:rPr>
            </w:pPr>
          </w:p>
          <w:p w:rsidR="0049568D" w:rsidRDefault="0049568D">
            <w:pPr>
              <w:jc w:val="center"/>
              <w:rPr>
                <w:sz w:val="22"/>
                <w:szCs w:val="22"/>
              </w:rPr>
            </w:pPr>
          </w:p>
          <w:p w:rsidR="0049568D" w:rsidRDefault="00495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 приемы</w:t>
            </w:r>
          </w:p>
        </w:tc>
        <w:tc>
          <w:tcPr>
            <w:tcW w:w="23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8D" w:rsidRDefault="0049568D">
            <w:pPr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вариативной детской деятельности (выбор разных материалов (РМ), выбор уровня сложности задания (УС), выбор разных заданий (РЗ) и т.д.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8D" w:rsidRDefault="00495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организации (фронтальная, подгрупповая, индивидуальная (обозначить  +)</w:t>
            </w:r>
          </w:p>
        </w:tc>
      </w:tr>
      <w:tr w:rsidR="0049568D" w:rsidTr="0049568D">
        <w:trPr>
          <w:trHeight w:val="695"/>
        </w:trPr>
        <w:tc>
          <w:tcPr>
            <w:tcW w:w="10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8D" w:rsidRDefault="0049568D">
            <w:pPr>
              <w:rPr>
                <w:sz w:val="22"/>
                <w:szCs w:val="22"/>
              </w:rPr>
            </w:pPr>
          </w:p>
        </w:tc>
        <w:tc>
          <w:tcPr>
            <w:tcW w:w="41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8D" w:rsidRDefault="0049568D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8D" w:rsidRDefault="00495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8D" w:rsidRDefault="00495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8D" w:rsidRDefault="00495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</w:tc>
      </w:tr>
      <w:tr w:rsidR="0049568D" w:rsidTr="0049568D">
        <w:trPr>
          <w:trHeight w:val="182"/>
        </w:trPr>
        <w:tc>
          <w:tcPr>
            <w:tcW w:w="10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8D" w:rsidRDefault="0049568D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8D" w:rsidRDefault="00495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8D" w:rsidRDefault="00495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8D" w:rsidRDefault="00495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8D" w:rsidRDefault="00495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8D" w:rsidRDefault="0049568D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8D" w:rsidRDefault="0049568D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8D" w:rsidRDefault="0049568D">
            <w:pPr>
              <w:rPr>
                <w:sz w:val="22"/>
                <w:szCs w:val="22"/>
              </w:rPr>
            </w:pPr>
          </w:p>
        </w:tc>
      </w:tr>
      <w:tr w:rsidR="0049568D" w:rsidTr="0049568D">
        <w:trPr>
          <w:trHeight w:val="223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8D" w:rsidRDefault="0049568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Информативная часть (презентация), обсуждение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8D" w:rsidRDefault="0049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8D" w:rsidRDefault="0049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8D" w:rsidRDefault="0049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8D" w:rsidRDefault="0049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8D" w:rsidRDefault="00165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8D" w:rsidRDefault="0049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8D" w:rsidRDefault="0049568D">
            <w:pPr>
              <w:jc w:val="center"/>
              <w:rPr>
                <w:sz w:val="22"/>
                <w:szCs w:val="22"/>
              </w:rPr>
            </w:pPr>
          </w:p>
        </w:tc>
      </w:tr>
      <w:tr w:rsidR="00626757" w:rsidTr="0049568D">
        <w:trPr>
          <w:trHeight w:val="151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57" w:rsidRDefault="00626757" w:rsidP="0062675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Заполнение коллажа-макета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7" w:rsidRDefault="00165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57" w:rsidRDefault="00165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7" w:rsidRDefault="00626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7" w:rsidRDefault="00626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7" w:rsidRDefault="00626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57" w:rsidRDefault="00165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57" w:rsidRDefault="00626757">
            <w:pPr>
              <w:jc w:val="center"/>
              <w:rPr>
                <w:sz w:val="22"/>
                <w:szCs w:val="22"/>
              </w:rPr>
            </w:pPr>
          </w:p>
        </w:tc>
      </w:tr>
      <w:tr w:rsidR="0049568D" w:rsidTr="0049568D">
        <w:trPr>
          <w:trHeight w:val="151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8D" w:rsidRDefault="0049568D" w:rsidP="0062675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Игра «</w:t>
            </w:r>
            <w:r w:rsidR="00626757">
              <w:rPr>
                <w:sz w:val="22"/>
                <w:szCs w:val="22"/>
              </w:rPr>
              <w:t>Поиграем с воздухом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8D" w:rsidRDefault="0049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8D" w:rsidRDefault="0049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8D" w:rsidRDefault="0049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8D" w:rsidRDefault="0049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8D" w:rsidRDefault="0049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8D" w:rsidRDefault="00165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8D" w:rsidRDefault="0049568D">
            <w:pPr>
              <w:jc w:val="center"/>
              <w:rPr>
                <w:sz w:val="22"/>
                <w:szCs w:val="22"/>
              </w:rPr>
            </w:pPr>
          </w:p>
        </w:tc>
      </w:tr>
      <w:tr w:rsidR="0049568D" w:rsidTr="0049568D">
        <w:trPr>
          <w:trHeight w:val="182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8D" w:rsidRDefault="0062675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«Караси и щука»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8D" w:rsidRDefault="0049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8D" w:rsidRDefault="00165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8D" w:rsidRDefault="0049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8D" w:rsidRDefault="0049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8D" w:rsidRDefault="00165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8D" w:rsidRDefault="0049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8D" w:rsidRDefault="0049568D">
            <w:pPr>
              <w:jc w:val="center"/>
              <w:rPr>
                <w:sz w:val="22"/>
                <w:szCs w:val="22"/>
              </w:rPr>
            </w:pPr>
          </w:p>
        </w:tc>
      </w:tr>
      <w:tr w:rsidR="0049568D" w:rsidTr="0049568D">
        <w:trPr>
          <w:trHeight w:val="182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8D" w:rsidRDefault="0062675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Обсуждение видео «Берегите воду!»</w:t>
            </w:r>
            <w:r w:rsidR="004956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8D" w:rsidRDefault="0049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8D" w:rsidRDefault="0049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8D" w:rsidRDefault="0049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8D" w:rsidRDefault="0049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8D" w:rsidRDefault="00165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8D" w:rsidRDefault="0049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8D" w:rsidRDefault="0049568D">
            <w:pPr>
              <w:jc w:val="center"/>
              <w:rPr>
                <w:sz w:val="22"/>
                <w:szCs w:val="22"/>
              </w:rPr>
            </w:pPr>
          </w:p>
        </w:tc>
      </w:tr>
      <w:tr w:rsidR="0049568D" w:rsidTr="0049568D">
        <w:trPr>
          <w:trHeight w:val="182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8D" w:rsidRDefault="0062675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стихотворения А.Усачёва «Мусорная фантазия»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8D" w:rsidRDefault="0049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8D" w:rsidRDefault="0049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8D" w:rsidRDefault="0049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8D" w:rsidRDefault="0049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8D" w:rsidRDefault="00165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8D" w:rsidRDefault="0049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8D" w:rsidRDefault="0049568D">
            <w:pPr>
              <w:jc w:val="center"/>
              <w:rPr>
                <w:sz w:val="22"/>
                <w:szCs w:val="22"/>
              </w:rPr>
            </w:pPr>
          </w:p>
        </w:tc>
      </w:tr>
      <w:tr w:rsidR="0049568D" w:rsidTr="0049568D">
        <w:trPr>
          <w:trHeight w:val="173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8D" w:rsidRDefault="0062675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с ТРИЗ-замещением «Что, если ты будешь…»</w:t>
            </w:r>
            <w:r w:rsidR="004956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8D" w:rsidRDefault="0049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8D" w:rsidRDefault="00165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8D" w:rsidRDefault="0049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8D" w:rsidRDefault="0049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8D" w:rsidRDefault="0049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8D" w:rsidRDefault="00165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8D" w:rsidRDefault="0049568D">
            <w:pPr>
              <w:jc w:val="center"/>
              <w:rPr>
                <w:sz w:val="22"/>
                <w:szCs w:val="22"/>
              </w:rPr>
            </w:pPr>
          </w:p>
        </w:tc>
      </w:tr>
      <w:tr w:rsidR="0049568D" w:rsidTr="0049568D">
        <w:trPr>
          <w:trHeight w:val="263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8D" w:rsidRDefault="0062675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 с индивидуальным портфолио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8D" w:rsidRDefault="00165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8D" w:rsidRDefault="00165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8D" w:rsidRDefault="00165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8D" w:rsidRDefault="0049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8D" w:rsidRDefault="0049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8D" w:rsidRDefault="00495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8D" w:rsidRDefault="00165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9568D" w:rsidTr="0049568D">
        <w:trPr>
          <w:trHeight w:val="1520"/>
        </w:trPr>
        <w:tc>
          <w:tcPr>
            <w:tcW w:w="10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8D" w:rsidRDefault="00495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3.Заключительная часть (рефлексивная деятельность - подведение итогов, обсуждение полученных результатов – что узнали нового, какими знаниями дети будут </w:t>
            </w:r>
            <w:r w:rsidR="001654D8">
              <w:rPr>
                <w:sz w:val="22"/>
                <w:szCs w:val="22"/>
              </w:rPr>
              <w:t>пользоваться, в каких ситуациях.</w:t>
            </w:r>
            <w:r>
              <w:rPr>
                <w:sz w:val="22"/>
                <w:szCs w:val="22"/>
              </w:rPr>
              <w:t xml:space="preserve">  </w:t>
            </w:r>
            <w:r w:rsidR="001654D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ефлексивная оценка</w:t>
            </w:r>
            <w:r w:rsidR="001654D8">
              <w:rPr>
                <w:sz w:val="22"/>
                <w:szCs w:val="22"/>
              </w:rPr>
              <w:t xml:space="preserve"> - ч</w:t>
            </w:r>
            <w:r>
              <w:rPr>
                <w:sz w:val="22"/>
                <w:szCs w:val="22"/>
              </w:rPr>
              <w:t>то понравилось больше всего? Что было самым трудным?</w:t>
            </w:r>
            <w:r w:rsidR="00301593">
              <w:rPr>
                <w:sz w:val="22"/>
                <w:szCs w:val="22"/>
              </w:rPr>
              <w:t>)</w:t>
            </w:r>
            <w:r w:rsidR="001654D8">
              <w:rPr>
                <w:sz w:val="22"/>
                <w:szCs w:val="22"/>
              </w:rPr>
              <w:t>.  Поинтересоваться у детей, нашли ли они для себя ответ на вопрос о том, насколько значим предмет изучения экологии, чем они могут помочь в деле бережного отношения к природе уже сейчас? Заинтересованы ли они в дальнейшей поисково-исследовательской работе по теме экологии? О чём еще им хотелось бы узнать?</w:t>
            </w:r>
          </w:p>
          <w:p w:rsidR="0049568D" w:rsidRDefault="0049568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Работа с родителями</w:t>
            </w:r>
            <w:r>
              <w:rPr>
                <w:sz w:val="22"/>
                <w:szCs w:val="22"/>
              </w:rPr>
              <w:t xml:space="preserve"> – </w:t>
            </w:r>
            <w:r w:rsidR="001654D8">
              <w:rPr>
                <w:sz w:val="22"/>
                <w:szCs w:val="22"/>
              </w:rPr>
              <w:t>дети в ходе своей самостоятельной деятельности придумывают средство, систему или механизм очистки воды или воздуха, воплощая его графически на листе портфолио</w:t>
            </w:r>
            <w:r>
              <w:rPr>
                <w:sz w:val="22"/>
                <w:szCs w:val="22"/>
              </w:rPr>
              <w:t>.</w:t>
            </w:r>
            <w:r w:rsidR="001654D8">
              <w:rPr>
                <w:sz w:val="22"/>
                <w:szCs w:val="22"/>
              </w:rPr>
              <w:t xml:space="preserve"> Задача родителей – совместно с ребенком доработать задумку и составить план-рассказ по «защите» своего изобретения.</w:t>
            </w:r>
          </w:p>
          <w:p w:rsidR="0049568D" w:rsidRDefault="0049568D">
            <w:pPr>
              <w:rPr>
                <w:sz w:val="22"/>
                <w:szCs w:val="22"/>
              </w:rPr>
            </w:pPr>
          </w:p>
        </w:tc>
      </w:tr>
    </w:tbl>
    <w:p w:rsidR="0049568D" w:rsidRDefault="0049568D" w:rsidP="0049568D">
      <w:pPr>
        <w:pStyle w:val="a3"/>
        <w:jc w:val="right"/>
      </w:pPr>
    </w:p>
    <w:p w:rsidR="0049568D" w:rsidRDefault="0049568D" w:rsidP="0049568D">
      <w:pPr>
        <w:pStyle w:val="a3"/>
        <w:jc w:val="right"/>
      </w:pPr>
    </w:p>
    <w:p w:rsidR="000271D1" w:rsidRDefault="000271D1"/>
    <w:sectPr w:rsidR="000271D1" w:rsidSect="0049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169C"/>
    <w:multiLevelType w:val="hybridMultilevel"/>
    <w:tmpl w:val="3984F5A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E032D"/>
    <w:multiLevelType w:val="hybridMultilevel"/>
    <w:tmpl w:val="66E86986"/>
    <w:lvl w:ilvl="0" w:tplc="612890A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70D10"/>
    <w:multiLevelType w:val="hybridMultilevel"/>
    <w:tmpl w:val="7046B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568D"/>
    <w:rsid w:val="000271D1"/>
    <w:rsid w:val="001654D8"/>
    <w:rsid w:val="00167975"/>
    <w:rsid w:val="00301593"/>
    <w:rsid w:val="0049568D"/>
    <w:rsid w:val="00626757"/>
    <w:rsid w:val="00774372"/>
    <w:rsid w:val="007F673E"/>
    <w:rsid w:val="008F1613"/>
    <w:rsid w:val="00B45922"/>
    <w:rsid w:val="00B5139E"/>
    <w:rsid w:val="00D704B3"/>
    <w:rsid w:val="00E1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8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6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tillie</dc:creator>
  <cp:keywords/>
  <dc:description/>
  <cp:lastModifiedBy>tillie</cp:lastModifiedBy>
  <cp:revision>5</cp:revision>
  <dcterms:created xsi:type="dcterms:W3CDTF">2017-11-13T16:45:00Z</dcterms:created>
  <dcterms:modified xsi:type="dcterms:W3CDTF">2017-11-13T17:37:00Z</dcterms:modified>
</cp:coreProperties>
</file>