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9" w:rsidRPr="00B91EB9" w:rsidRDefault="00B91EB9" w:rsidP="00B91EB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  <w:t>Приложение N 2</w:t>
      </w:r>
    </w:p>
    <w:p w:rsidR="00B91EB9" w:rsidRPr="00B91EB9" w:rsidRDefault="00B91EB9" w:rsidP="00B91EB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  <w:t>     </w:t>
      </w:r>
      <w:r w:rsidRPr="00B91EB9"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  <w:br/>
      </w:r>
      <w:r w:rsidRPr="00B91EB9"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  <w:br/>
        <w:t>Календарь профилактических прививок по эпидемическим показаниям</w:t>
      </w:r>
    </w:p>
    <w:p w:rsidR="00B91EB9" w:rsidRPr="00B91EB9" w:rsidRDefault="00B91EB9" w:rsidP="00B91E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(с изменениями на 3 февраля 2021 года)</w:t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2"/>
        <w:gridCol w:w="6423"/>
      </w:tblGrid>
      <w:tr w:rsidR="00B91EB9" w:rsidRPr="00B91EB9" w:rsidTr="00B91EB9">
        <w:trPr>
          <w:trHeight w:val="1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2"/>
                <w:szCs w:val="19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2"/>
                <w:szCs w:val="19"/>
                <w:lang w:eastAsia="ru-RU"/>
              </w:rPr>
            </w:pP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туляремии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дератизационные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 дезинсекционные;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работающие с живыми культурами возбудителя туляремии.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чумы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бруцеллеза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 очагах козье-овечьего типа бруцеллеза лица, выполняющие следующие работы: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по убою скота, больного бруцеллезом, заготовке и переработке полученных от него мяса и мясопродуктов.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Животноводы, ветеринарные работники, зоотехники в хозяйствах, энзоотичных по бруцеллезу.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работающие с живыми культурами возбудителя бруцеллеза.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сибирской язвы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выполняющие следующие работы: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-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зооветработники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предубойным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содержанием скота, а также убоем, снятием шкур и разделкой туш;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бешенства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работающие с "уличным" вирусом бешенства;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ветеринарные работники; егеря, охотники, лесники;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выполняющие работы по отлову и содержанию животных.</w:t>
            </w:r>
            <w:proofErr w:type="gramEnd"/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лептоспироза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выполняющие следующие работы: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>Против клещевого вирусного энцефалита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Лица, проживающие на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эндемичных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эндемичные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дератизационные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 дезинсекционные;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Против лихорадки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Ку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Ку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. 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Ку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. Лица, работающие с живыми культурами возбудителей лихорадки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Ку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желтой лихорадки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холеры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выезжающие в неблагополучные по холере страны (регионы).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брюшного тифа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работающие с живыми культурами возбудителей брюшного тифа.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Лица, выезжающие в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гиперэндемичные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по брюшному тифу страны (регионы).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Контактные лица в очагах брюшного тифа по эпидемическим показаниям.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вирусного гепатита</w:t>
            </w: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А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Против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шигеллезов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br/>
              <w:t>Лица, занятые в сфере общественного питания и коммунального благоустройства.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шигеллезами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>Против менингококковой инфекции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серогрупп</w:t>
            </w:r>
            <w:proofErr w:type="spellEnd"/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А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или С.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Вакцинация проводится в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эндемичных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серогрупп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А или С.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кори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вирусного гепатита</w:t>
            </w: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дифтерии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эпидемического паротита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полиомиелита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полиовирусом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(или при подозрении на заболевание):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дети с 3 месяцев до 18 лет - однократно;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медицинские работники - однократно;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- дети, прибывшие из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эндемичных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лица, контактировавшие с </w:t>
            </w:r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прибывшими</w:t>
            </w:r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из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эндемичных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(неблагополучных) по полиомиелиту стран (регионов), с 3 месяцев жизни без ограничения возраста - однократно;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 xml:space="preserve">лица, работающие с живым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полиовирусом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 пневмококковой инфекции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B91EB9" w:rsidRPr="00B91EB9" w:rsidTr="00B91EB9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31 марта 2019 года </w:t>
            </w:r>
            <w:hyperlink r:id="rId4" w:anchor="6500IL" w:history="1">
              <w:r w:rsidRPr="00B91EB9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19 февраля 2019 года N 69н</w:t>
              </w:r>
            </w:hyperlink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5" w:anchor="7DM0KC" w:history="1">
              <w:r w:rsidRPr="00B91EB9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Против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ротавирусной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Дети для активной вакцинации с целью профилактики заболеваний, 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 xml:space="preserve">вызываемых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ротавирусами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>Против ветряной оспы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Против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гемофильной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Дети, не привитые на первом году жизни против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гемофильной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Против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коронавирусной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инфекции,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вызываемой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вирусом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SARS-CoV-2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 приоритету 1-го уровня относятся: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 в возрасте 60 лет и старше;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взрослые, работающие по отдельным профессиям и должностям:</w:t>
            </w:r>
          </w:p>
        </w:tc>
      </w:tr>
      <w:tr w:rsidR="00B91EB9" w:rsidRPr="00B91EB9" w:rsidTr="00B91EB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проживающие в организациях социального обслуживания;</w:t>
            </w:r>
          </w:p>
        </w:tc>
      </w:tr>
      <w:tr w:rsidR="00B91EB9" w:rsidRPr="00B91EB9" w:rsidTr="00B91EB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лица с хроническими заболеваниями, в том числе с заболеваниями </w:t>
            </w:r>
            <w:proofErr w:type="spell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бронхолегочной</w:t>
            </w:r>
            <w:proofErr w:type="spell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системы, </w:t>
            </w:r>
            <w:proofErr w:type="spellStart"/>
            <w:proofErr w:type="gramStart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сердечно-сосудистыми</w:t>
            </w:r>
            <w:proofErr w:type="spellEnd"/>
            <w:proofErr w:type="gramEnd"/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заболеваниями, сахарным диабетом и ожирением;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граждане, проживающие в городах с численностью населения 1 млн. и более.</w:t>
            </w:r>
          </w:p>
        </w:tc>
      </w:tr>
      <w:tr w:rsidR="00B91EB9" w:rsidRPr="00B91EB9" w:rsidTr="00B91EB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 приоритету 2-го уровня относятся: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взрослые, работающие по отдельным профессиям и должностям: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</w:tc>
      </w:tr>
      <w:tr w:rsidR="00B91EB9" w:rsidRPr="00B91EB9" w:rsidTr="00B91EB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лица, работающие вахтовым методом;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волонтеры;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военнослужащие;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работники организаций сферы предоставления услуг.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К приоритету 3-го уровня относятся: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государственные гражданские и муниципальные служащие;</w:t>
            </w:r>
          </w:p>
        </w:tc>
      </w:tr>
      <w:tr w:rsidR="00B91EB9" w:rsidRPr="00B91EB9" w:rsidTr="00B91EB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B91EB9" w:rsidRPr="00B91EB9" w:rsidTr="00B91EB9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EB9" w:rsidRPr="00B91EB9" w:rsidRDefault="00B91EB9" w:rsidP="00B91E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дополнительно включена с 27 декабря 2020 года </w:t>
            </w:r>
            <w:hyperlink r:id="rId6" w:anchor="64U0IK" w:history="1">
              <w:r w:rsidRPr="00B91EB9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9 декабря 2020 года N 1307н</w:t>
              </w:r>
            </w:hyperlink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; в редакции, введенной в действие с 20 февраля 2021 года </w:t>
            </w:r>
            <w:hyperlink r:id="rId7" w:history="1">
              <w:r w:rsidRPr="00B91EB9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3 февраля 2021 года N 47н</w:t>
              </w:r>
            </w:hyperlink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8" w:anchor="7DM0KC" w:history="1">
              <w:r w:rsidRPr="00B91EB9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B91EB9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</w:tbl>
    <w:p w:rsidR="00B91EB9" w:rsidRPr="00B91EB9" w:rsidRDefault="00B91EB9" w:rsidP="00B91E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    </w:t>
      </w:r>
    </w:p>
    <w:p w:rsidR="00B91EB9" w:rsidRPr="00B91EB9" w:rsidRDefault="00B91EB9" w:rsidP="00B91E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b/>
          <w:bCs/>
          <w:i w:val="0"/>
          <w:color w:val="444444"/>
          <w:sz w:val="19"/>
          <w:szCs w:val="19"/>
          <w:lang w:eastAsia="ru-RU"/>
        </w:rPr>
        <w:t>Порядок проведения гражданам профилактических прививок в рамках </w:t>
      </w:r>
      <w:hyperlink r:id="rId9" w:anchor="7DM0KC" w:history="1">
        <w:r w:rsidRPr="00B91EB9">
          <w:rPr>
            <w:rFonts w:ascii="Arial" w:eastAsia="Times New Roman" w:hAnsi="Arial" w:cs="Arial"/>
            <w:b/>
            <w:bCs/>
            <w:i w:val="0"/>
            <w:color w:val="3451A0"/>
            <w:sz w:val="19"/>
            <w:u w:val="single"/>
            <w:lang w:eastAsia="ru-RU"/>
          </w:rPr>
          <w:t>календаря профилактических прививок по эпидемическим показаниям</w:t>
        </w:r>
      </w:hyperlink>
    </w:p>
    <w:p w:rsidR="00B91EB9" w:rsidRPr="00B91EB9" w:rsidRDefault="00B91EB9" w:rsidP="00B91E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(с изменениями на 9 декабря 2020 года)</w:t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1. Профилактические прививки в рамках </w:t>
      </w:r>
      <w:hyperlink r:id="rId10" w:anchor="7DM0KC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календаря профилактических прививок по эпидемическим показаниям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обучение по вопросам</w:t>
      </w:r>
      <w:proofErr w:type="gram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3. Вакцинация и ревакцинация в рамках </w:t>
      </w:r>
      <w:hyperlink r:id="rId11" w:anchor="7DM0KC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календаря профилактических прививок по эпидемическим показаниям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lastRenderedPageBreak/>
        <w:t xml:space="preserve">4. </w:t>
      </w:r>
      <w:proofErr w:type="gram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поствакцинальные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12" w:anchor="8P40LT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</w:t>
        </w:r>
        <w:proofErr w:type="gramEnd"/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"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(фельдшером)*.</w:t>
      </w:r>
    </w:p>
    <w:p w:rsidR="00B91EB9" w:rsidRPr="00B91EB9" w:rsidRDefault="00B91EB9" w:rsidP="00B91E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proofErr w:type="gram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________________</w:t>
      </w:r>
      <w:proofErr w:type="gramEnd"/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proofErr w:type="gram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* </w:t>
      </w:r>
      <w:hyperlink r:id="rId13" w:anchor="64U0IK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  </w:r>
        <w:proofErr w:type="gramEnd"/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 xml:space="preserve"> лекарственных препаратов, включая наркотические лекарственные препараты и психотропные лекарственные препараты"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(зарегистрирован Министерством юстиции Российской Федерации 28 апреля 2012 года, регистрационный номер 23971).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полиовирусом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, выделение дикого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полиовируса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вакцинородственным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штаммом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полиовируса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, выделение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вакцинородственного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штамма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полиовируса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в биологическом материале человека или из объектов окружающей среды.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(Пункт в редакции, введенной в действие с 28 мая 2017 года </w:t>
      </w:r>
      <w:hyperlink r:id="rId14" w:anchor="65C0IR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приказом Минздрава России от 13 апреля 2017 года N 175н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. - См. </w:t>
      </w:r>
      <w:hyperlink r:id="rId15" w:anchor="7DM0KB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предыдущую редакцию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)</w:t>
      </w: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8. С учетом эпидемической ситуации по решению исполнительных органов государственной власти субъектов Российской Федерации при вакцинации против </w:t>
      </w:r>
      <w:proofErr w:type="spellStart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коронавирусной</w:t>
      </w:r>
      <w:proofErr w:type="spellEnd"/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инфекции уровни приоритета могут быть изменены.</w:t>
      </w:r>
    </w:p>
    <w:p w:rsidR="00B91EB9" w:rsidRPr="00B91EB9" w:rsidRDefault="00B91EB9" w:rsidP="00B91E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(Пункт дополнительно включен с 27 декабря 2020 года </w:t>
      </w:r>
      <w:hyperlink r:id="rId16" w:anchor="6500IL" w:history="1">
        <w:r w:rsidRPr="00B91EB9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приказом Минздрава России от 9 декабря 2020 года N 1307н</w:t>
        </w:r>
      </w:hyperlink>
      <w:r w:rsidRPr="00B91EB9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)</w:t>
      </w:r>
    </w:p>
    <w:p w:rsidR="0004671B" w:rsidRDefault="0004671B"/>
    <w:sectPr w:rsidR="0004671B" w:rsidSect="009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B9"/>
    <w:rsid w:val="0004671B"/>
    <w:rsid w:val="003D3C9F"/>
    <w:rsid w:val="00570296"/>
    <w:rsid w:val="005F0956"/>
    <w:rsid w:val="007405A7"/>
    <w:rsid w:val="007F0148"/>
    <w:rsid w:val="008412F0"/>
    <w:rsid w:val="009D6B96"/>
    <w:rsid w:val="009F418D"/>
    <w:rsid w:val="00B4433F"/>
    <w:rsid w:val="00B91EB9"/>
    <w:rsid w:val="00CD6635"/>
    <w:rsid w:val="00DF3D71"/>
    <w:rsid w:val="00E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i/>
        <w:color w:val="333333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5"/>
  </w:style>
  <w:style w:type="paragraph" w:styleId="2">
    <w:name w:val="heading 2"/>
    <w:basedOn w:val="a"/>
    <w:link w:val="20"/>
    <w:uiPriority w:val="9"/>
    <w:qFormat/>
    <w:rsid w:val="00B9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EB9"/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EB9"/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paragraph" w:customStyle="1" w:styleId="headertext">
    <w:name w:val="headertext"/>
    <w:basedOn w:val="a"/>
    <w:rsid w:val="00B91EB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B91EB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84872" TargetMode="External"/><Relationship Id="rId13" Type="http://schemas.openxmlformats.org/officeDocument/2006/relationships/hyperlink" Target="https://docs.cntd.ru/document/90233930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564230" TargetMode="External"/><Relationship Id="rId12" Type="http://schemas.openxmlformats.org/officeDocument/2006/relationships/hyperlink" Target="https://docs.cntd.ru/document/9023126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114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114710" TargetMode="External"/><Relationship Id="rId11" Type="http://schemas.openxmlformats.org/officeDocument/2006/relationships/hyperlink" Target="https://docs.cntd.ru/document/499086215" TargetMode="External"/><Relationship Id="rId5" Type="http://schemas.openxmlformats.org/officeDocument/2006/relationships/hyperlink" Target="https://docs.cntd.ru/document/542643868" TargetMode="External"/><Relationship Id="rId15" Type="http://schemas.openxmlformats.org/officeDocument/2006/relationships/hyperlink" Target="https://docs.cntd.ru/document/420398460" TargetMode="External"/><Relationship Id="rId10" Type="http://schemas.openxmlformats.org/officeDocument/2006/relationships/hyperlink" Target="https://docs.cntd.ru/document/499086215" TargetMode="External"/><Relationship Id="rId4" Type="http://schemas.openxmlformats.org/officeDocument/2006/relationships/hyperlink" Target="https://docs.cntd.ru/document/542643174" TargetMode="External"/><Relationship Id="rId9" Type="http://schemas.openxmlformats.org/officeDocument/2006/relationships/hyperlink" Target="https://docs.cntd.ru/document/499086215" TargetMode="External"/><Relationship Id="rId14" Type="http://schemas.openxmlformats.org/officeDocument/2006/relationships/hyperlink" Target="https://docs.cntd.ru/document/456064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13310</Characters>
  <Application>Microsoft Office Word</Application>
  <DocSecurity>0</DocSecurity>
  <Lines>110</Lines>
  <Paragraphs>31</Paragraphs>
  <ScaleCrop>false</ScaleCrop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dcterms:created xsi:type="dcterms:W3CDTF">2021-08-04T13:25:00Z</dcterms:created>
  <dcterms:modified xsi:type="dcterms:W3CDTF">2021-08-04T13:26:00Z</dcterms:modified>
</cp:coreProperties>
</file>