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A8" w:rsidRPr="001069A8" w:rsidRDefault="001069A8" w:rsidP="001069A8">
      <w:pPr>
        <w:shd w:val="clear" w:color="auto" w:fill="FFFFFF"/>
        <w:tabs>
          <w:tab w:val="right" w:pos="9639"/>
        </w:tabs>
        <w:spacing w:before="300" w:after="150" w:line="240" w:lineRule="auto"/>
        <w:jc w:val="center"/>
        <w:outlineLvl w:val="1"/>
        <w:rPr>
          <w:rFonts w:ascii="Times New Roman" w:eastAsia="Times New Roman" w:hAnsi="Times New Roman" w:cs="Times New Roman"/>
          <w:b/>
          <w:color w:val="333333"/>
          <w:sz w:val="40"/>
          <w:szCs w:val="40"/>
          <w:lang w:eastAsia="ru-RU"/>
        </w:rPr>
      </w:pPr>
      <w:r w:rsidRPr="001069A8">
        <w:rPr>
          <w:rFonts w:ascii="Times New Roman" w:eastAsia="Times New Roman" w:hAnsi="Times New Roman" w:cs="Times New Roman"/>
          <w:b/>
          <w:color w:val="333333"/>
          <w:sz w:val="40"/>
          <w:szCs w:val="40"/>
          <w:lang w:eastAsia="ru-RU"/>
        </w:rPr>
        <w:t>Игра как ведущий метод обучения детей безопасному поведению на дорогах</w:t>
      </w:r>
    </w:p>
    <w:p w:rsidR="001069A8" w:rsidRDefault="001069A8" w:rsidP="001069A8">
      <w:pPr>
        <w:shd w:val="clear" w:color="auto" w:fill="FFFFFF"/>
        <w:spacing w:after="150" w:line="240" w:lineRule="auto"/>
        <w:jc w:val="both"/>
        <w:rPr>
          <w:rFonts w:ascii="Informal Roman" w:eastAsia="Times New Roman" w:hAnsi="Informal Roman" w:cs="Informal Roman"/>
          <w:b/>
          <w:color w:val="333333"/>
          <w:sz w:val="28"/>
          <w:szCs w:val="28"/>
          <w:lang w:eastAsia="ru-RU"/>
        </w:rPr>
      </w:pPr>
      <w:r w:rsidRPr="001069A8">
        <w:rPr>
          <w:rFonts w:ascii="Informal Roman" w:eastAsia="Times New Roman" w:hAnsi="Informal Roman" w:cs="Times New Roman"/>
          <w:b/>
          <w:color w:val="333333"/>
          <w:sz w:val="28"/>
          <w:szCs w:val="28"/>
          <w:shd w:val="clear" w:color="auto" w:fill="FFFFFF"/>
          <w:lang w:eastAsia="ru-RU"/>
        </w:rPr>
        <w:t xml:space="preserve"> </w:t>
      </w:r>
      <w:r>
        <w:rPr>
          <w:rFonts w:ascii="Times New Roman" w:eastAsia="Times New Roman" w:hAnsi="Times New Roman" w:cs="Times New Roman"/>
          <w:b/>
          <w:color w:val="333333"/>
          <w:sz w:val="28"/>
          <w:szCs w:val="28"/>
          <w:shd w:val="clear" w:color="auto" w:fill="FFFFFF"/>
          <w:lang w:eastAsia="ru-RU"/>
        </w:rPr>
        <w:t>«</w:t>
      </w:r>
      <w:r w:rsidRPr="001069A8">
        <w:rPr>
          <w:rFonts w:ascii="Cambria" w:eastAsia="Times New Roman" w:hAnsi="Cambria" w:cs="Cambria"/>
          <w:b/>
          <w:color w:val="333333"/>
          <w:sz w:val="28"/>
          <w:szCs w:val="28"/>
          <w:shd w:val="clear" w:color="auto" w:fill="FFFFFF"/>
          <w:lang w:eastAsia="ru-RU"/>
        </w:rPr>
        <w:t>Игра</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есть</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путь</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детей</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к</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познанию</w:t>
      </w:r>
      <w:r w:rsidRPr="001069A8">
        <w:rPr>
          <w:rFonts w:ascii="Informal Roman" w:eastAsia="Times New Roman" w:hAnsi="Informal Roman" w:cs="Times New Roman"/>
          <w:b/>
          <w:color w:val="333333"/>
          <w:sz w:val="28"/>
          <w:szCs w:val="28"/>
          <w:shd w:val="clear" w:color="auto" w:fill="FFFFFF"/>
          <w:lang w:eastAsia="ru-RU"/>
        </w:rPr>
        <w:t xml:space="preserve"> </w:t>
      </w:r>
      <w:r w:rsidRPr="001069A8">
        <w:rPr>
          <w:rFonts w:ascii="Cambria" w:eastAsia="Times New Roman" w:hAnsi="Cambria" w:cs="Cambria"/>
          <w:b/>
          <w:color w:val="333333"/>
          <w:sz w:val="28"/>
          <w:szCs w:val="28"/>
          <w:shd w:val="clear" w:color="auto" w:fill="FFFFFF"/>
          <w:lang w:eastAsia="ru-RU"/>
        </w:rPr>
        <w:t>мира</w:t>
      </w:r>
      <w:r>
        <w:rPr>
          <w:rFonts w:ascii="Informal Roman" w:eastAsia="Times New Roman" w:hAnsi="Informal Roman" w:cs="Informal Roman"/>
          <w:b/>
          <w:color w:val="333333"/>
          <w:sz w:val="28"/>
          <w:szCs w:val="28"/>
          <w:shd w:val="clear" w:color="auto" w:fill="FFFFFF"/>
          <w:lang w:eastAsia="ru-RU"/>
        </w:rPr>
        <w:t>»</w:t>
      </w:r>
      <w:r w:rsidRPr="001069A8">
        <w:rPr>
          <w:rFonts w:ascii="Informal Roman" w:eastAsia="Times New Roman" w:hAnsi="Informal Roman" w:cs="Times New Roman"/>
          <w:b/>
          <w:color w:val="333333"/>
          <w:sz w:val="28"/>
          <w:szCs w:val="28"/>
          <w:lang w:eastAsia="ru-RU"/>
        </w:rPr>
        <w:t xml:space="preserve"> </w:t>
      </w:r>
      <w:proofErr w:type="spellStart"/>
      <w:r w:rsidRPr="001069A8">
        <w:rPr>
          <w:rFonts w:ascii="Calibri" w:eastAsia="Times New Roman" w:hAnsi="Calibri" w:cs="Calibri"/>
          <w:b/>
          <w:color w:val="333333"/>
          <w:sz w:val="28"/>
          <w:szCs w:val="28"/>
          <w:lang w:eastAsia="ru-RU"/>
        </w:rPr>
        <w:t>М</w:t>
      </w:r>
      <w:r w:rsidRPr="001069A8">
        <w:rPr>
          <w:rFonts w:ascii="Informal Roman" w:eastAsia="Times New Roman" w:hAnsi="Informal Roman" w:cs="Times New Roman"/>
          <w:b/>
          <w:color w:val="333333"/>
          <w:sz w:val="28"/>
          <w:szCs w:val="28"/>
          <w:lang w:eastAsia="ru-RU"/>
        </w:rPr>
        <w:t>.</w:t>
      </w:r>
      <w:r w:rsidRPr="001069A8">
        <w:rPr>
          <w:rFonts w:ascii="Calibri" w:eastAsia="Times New Roman" w:hAnsi="Calibri" w:cs="Calibri"/>
          <w:b/>
          <w:color w:val="333333"/>
          <w:sz w:val="28"/>
          <w:szCs w:val="28"/>
          <w:lang w:eastAsia="ru-RU"/>
        </w:rPr>
        <w:t>Горький</w:t>
      </w:r>
      <w:proofErr w:type="spellEnd"/>
    </w:p>
    <w:p w:rsidR="001069A8" w:rsidRPr="001069A8" w:rsidRDefault="001069A8" w:rsidP="001069A8">
      <w:pPr>
        <w:shd w:val="clear" w:color="auto" w:fill="FFFFFF"/>
        <w:spacing w:after="150" w:line="240" w:lineRule="auto"/>
        <w:jc w:val="both"/>
        <w:rPr>
          <w:rFonts w:ascii="Times New Roman" w:eastAsia="Times New Roman" w:hAnsi="Times New Roman" w:cs="Times New Roman"/>
          <w:color w:val="333333"/>
          <w:sz w:val="28"/>
          <w:szCs w:val="28"/>
          <w:lang w:eastAsia="ru-RU"/>
        </w:rPr>
      </w:pPr>
      <w:bookmarkStart w:id="0" w:name="_GoBack"/>
      <w:r w:rsidRPr="001069A8">
        <w:rPr>
          <w:rFonts w:ascii="Times New Roman" w:eastAsia="Times New Roman" w:hAnsi="Times New Roman" w:cs="Times New Roman"/>
          <w:color w:val="333333"/>
          <w:sz w:val="28"/>
          <w:szCs w:val="28"/>
          <w:lang w:eastAsia="ru-RU"/>
        </w:rPr>
        <w:t>Воспитание</w:t>
      </w:r>
      <w:bookmarkEnd w:id="0"/>
      <w:r w:rsidRPr="001069A8">
        <w:rPr>
          <w:rFonts w:ascii="Times New Roman" w:eastAsia="Times New Roman" w:hAnsi="Times New Roman" w:cs="Times New Roman"/>
          <w:color w:val="333333"/>
          <w:sz w:val="28"/>
          <w:szCs w:val="28"/>
          <w:shd w:val="clear" w:color="auto" w:fill="FFFFFF"/>
          <w:lang w:eastAsia="ru-RU"/>
        </w:rPr>
        <w:t xml:space="preserve"> безопасного поведения у детей на дорогах – одна из главных задач дошкольного образовательного учреждения. Ребенок становится участником дорожного движения с самого юного возраста, когда он еще по своим знаниям и умениям не готов к этому. Именно поэтому, с первых дней пребывания ребенка в детском саду необходимо организовать его воспитание и обучение таким образом, чтобы к моменту его перехода из детского сада в школу, он мог легко ориентироваться в ближайшем окружении, а также умел наблюдать и правильно оценивать дорожные ситуации.</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 xml:space="preserve">Главная цель работы по данному направлению заключается в формировании у наших воспитанников навыков осознанного безопасного поведения на дорогах и улицах нашего поселка. Исходя из цели, были определены следующие </w:t>
      </w:r>
      <w:proofErr w:type="gramStart"/>
      <w:r w:rsidRPr="001069A8">
        <w:rPr>
          <w:rFonts w:ascii="Times New Roman" w:eastAsia="Times New Roman" w:hAnsi="Times New Roman" w:cs="Times New Roman"/>
          <w:color w:val="333333"/>
          <w:sz w:val="28"/>
          <w:szCs w:val="28"/>
          <w:shd w:val="clear" w:color="auto" w:fill="FFFFFF"/>
          <w:lang w:eastAsia="ru-RU"/>
        </w:rPr>
        <w:t>задачи:</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w:t>
      </w:r>
      <w:proofErr w:type="gramEnd"/>
      <w:r w:rsidRPr="001069A8">
        <w:rPr>
          <w:rFonts w:ascii="Times New Roman" w:eastAsia="Times New Roman" w:hAnsi="Times New Roman" w:cs="Times New Roman"/>
          <w:color w:val="333333"/>
          <w:sz w:val="28"/>
          <w:szCs w:val="28"/>
          <w:shd w:val="clear" w:color="auto" w:fill="FFFFFF"/>
          <w:lang w:eastAsia="ru-RU"/>
        </w:rPr>
        <w:t xml:space="preserve"> усвоение детьми первоначальных знаний о правилах безопасного поведения на улице;</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 формирование у дошкольников качественно новых двигательных навыков и бдительного отношения к окружающей обстановке;</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 развитие у воспитанников способности предвидеть возможную опасность в конкретной постоянно меняющейся ситуации и построению безопасного адекватного поведения.</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С чего же начать? Как научить наших детей правилам дорожного движения? А начинать нужно, прежде всего, с эмоционального настроя дошкольников, который сформируют различные игры по ПДД. Главное, чтобы все они соответствовали возрасту и детским возможностям, увлекали детей, способствовали развитию творческой смекалки и сообразительности дошкольников.</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Работа по обучению детей правилам дорожного движения – это неотъемлемая часть занятий по ознакомлению с окружающим миром, изобразительной деятельности, игр, прогулок.</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В дошкольном возрасте игра является основным видом деятельности ребенка. Игра – это спутник детства, инструмент для творческого самовыражения и обогащения личного опыта ребенка, формирования силы воли. Только в игре учится и воспитывается маленький человек. Выступая в качестве ведущего вида деятельности, игра способствует познанию социальной действительности, обеспечивает усвоение разных социальных ролей и моделей отношений. Содержание детских игр отражает все реалии окружающего мира, и это наилучшим образом сказывается на развитии детей, помогает им понять современный социальный контекст и уклад нашей жизни.</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 xml:space="preserve">В результате игровой деятельности дети узнают и называют разные виды транспорта, имеют представление о дороге, различают тротуар, обочину, проезжую часть дороги, знают сигналы светофора, их значение; имеют </w:t>
      </w:r>
      <w:r w:rsidRPr="001069A8">
        <w:rPr>
          <w:rFonts w:ascii="Times New Roman" w:eastAsia="Times New Roman" w:hAnsi="Times New Roman" w:cs="Times New Roman"/>
          <w:color w:val="333333"/>
          <w:sz w:val="28"/>
          <w:szCs w:val="28"/>
          <w:shd w:val="clear" w:color="auto" w:fill="FFFFFF"/>
          <w:lang w:eastAsia="ru-RU"/>
        </w:rPr>
        <w:lastRenderedPageBreak/>
        <w:t>элементарные представления о правилах дорожного движения в качестве пешехода.</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Проводить обучение детей по ПДД в игровой форме очень легко и в тоже время это получается совершенно ненавязчиво. Кроме того, игра способствует развитию познавательных интересов, логического мышления, творческих способностей дошкольников, умения обобщать, рассуждать, классифицировать, развивать внимательность, быстроту реакции на слово или сигнал, ориентироваться в окружающем пространстве; воспитывать выдержку и терпение в достижении цели.</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Содержание игровых занятий усложняются в соответствии с возрастом дошкольников. Проводя обучение детей 3-4 лет, следует учить их различать проезжую часть улицы и тротуар, а также формировать представление о назначении зеленого и красного сигналов светофора. У детей 4-5 лет необходимо закрепить представление о том, что улицу переходят в специально отведенных для этого местах и только на зеленый сигнал светофора. В старшем дошкольном возрасте, у детей 5-6 лет нужно формировать представление о том, что пешеходы ходят только по тротуару, пересекают улицы в специальных местах, ориентируясь на сигналы светофора, пассажиры ожидают общественный транспорт на остановках. Детей 6-7 лет, родители и педагоги обязаны научить соблюдать правила дорожного движения и поведения на улице: ходить только по тротуарам и пешеходным дорожкам, придерживаясь правой стороны, переходить улицу в указанных местах на зеленый свет светофора, не играть на проезжей части улицы, дороги.</w:t>
      </w:r>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Работа по изучению правил дорожного движения обязана проводиться в тесном контакте с родителями. Необходимо объяснить родителям о том, насколько важно научить детей самостоятельности при передвижении по улице. Родителям старших дошкольников с этой целью можно дать поручение в игровой форме, но с конкретной, понятной ребенку целью. К примеру, «Давай, сегодня по дороге домой я буду твоей мамой, а ты моей дочкой», – говорит мама ребенку, «но для начала расскажи мне подробно, по какой стороне тротуара нужно идти, где мы будем переходить дорогу?» В этом случае ребенок будет действовать под контролем и в сопровождении взрослого. Выполнение подобных заданий ставит перед ребенком определенную цель, закрепляет знание правил передвижения по улице, развивает наблюдательность, необходимость подумать, представить, мысленно расчленить путь на небольшие отрезки, определить расположение ориентиров и обозначить их словом</w:t>
      </w:r>
      <w:proofErr w:type="gramStart"/>
      <w:r w:rsidRPr="001069A8">
        <w:rPr>
          <w:rFonts w:ascii="Times New Roman" w:eastAsia="Times New Roman" w:hAnsi="Times New Roman" w:cs="Times New Roman"/>
          <w:color w:val="333333"/>
          <w:sz w:val="28"/>
          <w:szCs w:val="28"/>
          <w:shd w:val="clear" w:color="auto" w:fill="FFFFFF"/>
          <w:lang w:eastAsia="ru-RU"/>
        </w:rPr>
        <w:t>.</w:t>
      </w:r>
      <w:proofErr w:type="gramEnd"/>
      <w:r w:rsidRPr="001069A8">
        <w:rPr>
          <w:rFonts w:ascii="Times New Roman" w:eastAsia="Times New Roman" w:hAnsi="Times New Roman" w:cs="Times New Roman"/>
          <w:color w:val="333333"/>
          <w:sz w:val="28"/>
          <w:szCs w:val="28"/>
          <w:lang w:eastAsia="ru-RU"/>
        </w:rPr>
        <w:br/>
      </w:r>
      <w:r w:rsidRPr="001069A8">
        <w:rPr>
          <w:rFonts w:ascii="Times New Roman" w:eastAsia="Times New Roman" w:hAnsi="Times New Roman" w:cs="Times New Roman"/>
          <w:color w:val="333333"/>
          <w:sz w:val="28"/>
          <w:szCs w:val="28"/>
          <w:shd w:val="clear" w:color="auto" w:fill="FFFFFF"/>
          <w:lang w:eastAsia="ru-RU"/>
        </w:rPr>
        <w:t>Наглядные примеры, с которыми сталкиваются дети в процессе своего общения с дорогой, значительно сильнее знаний теории, которые они получают во время обучения. Моделируя реальные ситуации и действия, игра выступает мощным средством обучения, позволяющим на практике избежать негативное влияние окружающей среды.</w:t>
      </w:r>
    </w:p>
    <w:p w:rsidR="007B22CF" w:rsidRPr="001069A8" w:rsidRDefault="007B22CF">
      <w:pPr>
        <w:rPr>
          <w:rFonts w:ascii="Times New Roman" w:hAnsi="Times New Roman" w:cs="Times New Roman"/>
          <w:sz w:val="28"/>
          <w:szCs w:val="28"/>
        </w:rPr>
      </w:pPr>
    </w:p>
    <w:sectPr w:rsidR="007B22CF" w:rsidRPr="001069A8" w:rsidSect="001069A8">
      <w:pgSz w:w="11906" w:h="16838"/>
      <w:pgMar w:top="1134" w:right="1133" w:bottom="1134" w:left="1134"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A8"/>
    <w:rsid w:val="001069A8"/>
    <w:rsid w:val="007B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50B7D-FECC-4E9D-8092-215A6719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2024-05-20T13:19:00Z</dcterms:created>
  <dcterms:modified xsi:type="dcterms:W3CDTF">2024-05-20T13:25:00Z</dcterms:modified>
</cp:coreProperties>
</file>