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F5" w:rsidRPr="00A934F5" w:rsidRDefault="00A934F5" w:rsidP="00A934F5">
      <w:pPr>
        <w:jc w:val="center"/>
        <w:rPr>
          <w:rFonts w:ascii="Garamond" w:hAnsi="Garamond"/>
          <w:b/>
          <w:color w:val="806000" w:themeColor="accent4" w:themeShade="80"/>
          <w:sz w:val="28"/>
        </w:rPr>
      </w:pPr>
      <w:r w:rsidRPr="00A934F5">
        <w:rPr>
          <w:rFonts w:ascii="Garamond" w:hAnsi="Garamond"/>
          <w:b/>
          <w:color w:val="806000" w:themeColor="accent4" w:themeShade="80"/>
          <w:sz w:val="28"/>
        </w:rPr>
        <w:t>Речь родителей – образец для ребёнка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/>
          <w:color w:val="806000" w:themeColor="accent4" w:themeShade="80"/>
          <w:sz w:val="28"/>
        </w:rPr>
        <w:t>Любой родитель хочет видеть своего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успешным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уверенным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себе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Немаловажную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роль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для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достижения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этой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цели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играет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красивая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правильная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имеет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значения, кем в будущем станет ваш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Ч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ткая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грамотная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пригодится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любой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сфере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деятельности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Очень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большое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значение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для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развития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имеет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речевая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среда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которой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он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раст</w:t>
      </w:r>
      <w:r w:rsidRPr="00A934F5">
        <w:rPr>
          <w:rFonts w:ascii="Cambria" w:hAnsi="Cambria" w:cs="Cambria"/>
          <w:color w:val="806000" w:themeColor="accent4" w:themeShade="80"/>
          <w:sz w:val="28"/>
        </w:rPr>
        <w:t>а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подражает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взрослых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которыми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он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чаще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всего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</w:t>
      </w:r>
      <w:r w:rsidRPr="00A934F5">
        <w:rPr>
          <w:rFonts w:ascii="Garamond" w:hAnsi="Garamond"/>
          <w:color w:val="806000" w:themeColor="accent4" w:themeShade="80"/>
          <w:sz w:val="28"/>
        </w:rPr>
        <w:t>бщается. По этой причине родители, бабушки и дедушки должны постараться, чтобы их речь была образцом для малыша. Ведь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изначально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знает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как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нужно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правильно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говорить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Он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обращает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внимание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взрослых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прислушивается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старается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копироват</w:t>
      </w:r>
      <w:r w:rsidRPr="00A934F5">
        <w:rPr>
          <w:rFonts w:ascii="Garamond" w:hAnsi="Garamond"/>
          <w:color w:val="806000" w:themeColor="accent4" w:themeShade="80"/>
          <w:sz w:val="28"/>
        </w:rPr>
        <w:t>ь е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постепенно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приближаясь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образцу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Хотелось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рассказать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родителям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некоторых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ошибках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которые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допускают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некоторые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из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них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общаясь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малышами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 w:cs="Garamond"/>
          <w:color w:val="806000" w:themeColor="accent4" w:themeShade="80"/>
          <w:sz w:val="28"/>
        </w:rPr>
        <w:t>•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Есть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такие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родители</w:t>
      </w:r>
      <w:r w:rsidRPr="00A934F5">
        <w:rPr>
          <w:rFonts w:ascii="Garamond" w:hAnsi="Garamond"/>
          <w:color w:val="806000" w:themeColor="accent4" w:themeShade="80"/>
          <w:sz w:val="28"/>
        </w:rPr>
        <w:t>-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«молчуны»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которые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из</w:t>
      </w:r>
      <w:r w:rsidRPr="00A934F5">
        <w:rPr>
          <w:rFonts w:ascii="Garamond" w:hAnsi="Garamond"/>
          <w:color w:val="806000" w:themeColor="accent4" w:themeShade="80"/>
          <w:sz w:val="28"/>
        </w:rPr>
        <w:t>-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за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своих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индивидуальных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особенностей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совсем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разговаривают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между собой, почти не общаются с другими людьми. Как следствие, речь детей в таких семьях запаздывает в сво</w:t>
      </w:r>
      <w:r w:rsidRPr="00A934F5">
        <w:rPr>
          <w:rFonts w:ascii="Cambria" w:hAnsi="Cambria" w:cs="Cambria"/>
          <w:color w:val="806000" w:themeColor="accent4" w:themeShade="80"/>
          <w:sz w:val="28"/>
        </w:rPr>
        <w:t>ем развитии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поскольку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есть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возможность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подражать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только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молчанию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Вот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малыш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молчит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Молчать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таких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условиях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будет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даже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норма</w:t>
      </w:r>
      <w:r w:rsidRPr="00A934F5">
        <w:rPr>
          <w:rFonts w:ascii="Garamond" w:hAnsi="Garamond"/>
          <w:color w:val="806000" w:themeColor="accent4" w:themeShade="80"/>
          <w:sz w:val="28"/>
        </w:rPr>
        <w:t>льно развитым речевым аппаратом. Ну, а если у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имеются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какие</w:t>
      </w:r>
      <w:r w:rsidRPr="00A934F5">
        <w:rPr>
          <w:rFonts w:ascii="Garamond" w:hAnsi="Garamond"/>
          <w:color w:val="806000" w:themeColor="accent4" w:themeShade="80"/>
          <w:sz w:val="28"/>
        </w:rPr>
        <w:t>-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нибудь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нарушения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центральном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или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периферическом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отделах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речевого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аппарата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ему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будет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очень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сложно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начать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говорить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Из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этого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нужно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сделать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вывод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что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присутствии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нуж</w:t>
      </w:r>
      <w:r w:rsidRPr="00A934F5">
        <w:rPr>
          <w:rFonts w:ascii="Garamond" w:hAnsi="Garamond"/>
          <w:color w:val="806000" w:themeColor="accent4" w:themeShade="80"/>
          <w:sz w:val="28"/>
        </w:rPr>
        <w:t>но разговаривать обязательно. С самых первых дней его жизни необходимо разговаривать с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должна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быть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эмоциональной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ласковой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сопровождаться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улыбкой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Эмоциональный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контакт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малышом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способствует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полноценному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развитию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 w:cs="Garamond"/>
          <w:color w:val="806000" w:themeColor="accent4" w:themeShade="80"/>
          <w:sz w:val="28"/>
        </w:rPr>
        <w:t>•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Часто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наблюдаем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родителей, которые, не имея речевых недостатков, говорят быстро, невыразительно, неч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тко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проговаривают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окончания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Таким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же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образом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они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разговаривают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малышом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отвечают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заданные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вопросы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этой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ситуации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также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лиш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полноценного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образца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тко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проговаривая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окончания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слов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 w:cs="Garamond"/>
          <w:color w:val="806000" w:themeColor="accent4" w:themeShade="80"/>
          <w:sz w:val="28"/>
        </w:rPr>
        <w:t>•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Иногда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случается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что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детей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дошкольног</w:t>
      </w:r>
      <w:r w:rsidRPr="00A934F5">
        <w:rPr>
          <w:rFonts w:ascii="Garamond" w:hAnsi="Garamond"/>
          <w:color w:val="806000" w:themeColor="accent4" w:themeShade="80"/>
          <w:sz w:val="28"/>
        </w:rPr>
        <w:t>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моме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нту поступления в школу часто оказывается недостаточно развитой.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/>
          <w:color w:val="806000" w:themeColor="accent4" w:themeShade="80"/>
          <w:sz w:val="28"/>
        </w:rPr>
        <w:lastRenderedPageBreak/>
        <w:t>• Довольно часто взрослые, умиляясь и подражая детской речи, начинают «сюсюкать» с детьми, т.е. воспроизводят все недоч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детской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Это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также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является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одним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из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видов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неблагоприятного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воз</w:t>
      </w:r>
      <w:r w:rsidRPr="00A934F5">
        <w:rPr>
          <w:rFonts w:ascii="Garamond" w:hAnsi="Garamond"/>
          <w:color w:val="806000" w:themeColor="accent4" w:themeShade="80"/>
          <w:sz w:val="28"/>
        </w:rPr>
        <w:t>действия на речь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Последствия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такого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поведения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стороны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взрослых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будут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негативными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: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малыша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будет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отсутствовать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стимул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для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совершенствования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своей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 w:cs="Garamond"/>
          <w:color w:val="806000" w:themeColor="accent4" w:themeShade="80"/>
          <w:sz w:val="28"/>
        </w:rPr>
        <w:t>Хотелось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донести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родителей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насколько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важно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правильно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разговаривать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малышом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Ведь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из</w:t>
      </w:r>
      <w:r w:rsidRPr="00A934F5">
        <w:rPr>
          <w:rFonts w:ascii="Garamond" w:hAnsi="Garamond"/>
          <w:color w:val="806000" w:themeColor="accent4" w:themeShade="80"/>
          <w:sz w:val="28"/>
        </w:rPr>
        <w:t>-за того, что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нок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находится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условиях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неблагоприятной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речевой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среды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дефекты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могут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появиться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даже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детей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нормально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развитым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речевым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аппаратом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Если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у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есть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какие</w:t>
      </w:r>
      <w:r w:rsidRPr="00A934F5">
        <w:rPr>
          <w:rFonts w:ascii="Garamond" w:hAnsi="Garamond"/>
          <w:color w:val="806000" w:themeColor="accent4" w:themeShade="80"/>
          <w:sz w:val="28"/>
        </w:rPr>
        <w:t>-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нибудь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отклонения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речевом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аппарате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,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то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последствия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могут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быть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очень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серь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зными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A934F5" w:rsidRPr="00A934F5" w:rsidRDefault="00A934F5" w:rsidP="00A934F5">
      <w:pPr>
        <w:jc w:val="both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/>
          <w:color w:val="806000" w:themeColor="accent4" w:themeShade="80"/>
          <w:sz w:val="28"/>
        </w:rPr>
        <w:t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</w:t>
      </w:r>
      <w:r w:rsidRPr="00A934F5">
        <w:rPr>
          <w:rFonts w:ascii="Cambria" w:hAnsi="Cambria" w:cs="Cambria"/>
          <w:color w:val="806000" w:themeColor="accent4" w:themeShade="80"/>
          <w:sz w:val="28"/>
        </w:rPr>
        <w:t>ё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нка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всё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будет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хорошо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. </w:t>
      </w:r>
    </w:p>
    <w:p w:rsidR="00E93C01" w:rsidRPr="00A934F5" w:rsidRDefault="00A934F5" w:rsidP="00A934F5">
      <w:pPr>
        <w:jc w:val="right"/>
        <w:rPr>
          <w:rFonts w:ascii="Garamond" w:hAnsi="Garamond"/>
          <w:color w:val="806000" w:themeColor="accent4" w:themeShade="80"/>
          <w:sz w:val="28"/>
        </w:rPr>
      </w:pPr>
      <w:r w:rsidRPr="00A934F5">
        <w:rPr>
          <w:rFonts w:ascii="Garamond" w:hAnsi="Garamond" w:cs="Garamond"/>
          <w:color w:val="806000" w:themeColor="accent4" w:themeShade="80"/>
          <w:sz w:val="28"/>
        </w:rPr>
        <w:t>Материал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</w:t>
      </w:r>
      <w:r w:rsidRPr="00A934F5">
        <w:rPr>
          <w:rFonts w:ascii="Garamond" w:hAnsi="Garamond" w:cs="Garamond"/>
          <w:color w:val="806000" w:themeColor="accent4" w:themeShade="80"/>
          <w:sz w:val="28"/>
        </w:rPr>
        <w:t>сайта</w:t>
      </w:r>
      <w:r w:rsidRPr="00A934F5">
        <w:rPr>
          <w:rFonts w:ascii="Garamond" w:hAnsi="Garamond"/>
          <w:color w:val="806000" w:themeColor="accent4" w:themeShade="80"/>
          <w:sz w:val="28"/>
        </w:rPr>
        <w:t xml:space="preserve"> - https://</w:t>
      </w:r>
      <w:bookmarkStart w:id="0" w:name="_GoBack"/>
      <w:bookmarkEnd w:id="0"/>
      <w:r w:rsidRPr="00A934F5">
        <w:rPr>
          <w:rFonts w:ascii="Garamond" w:hAnsi="Garamond"/>
          <w:color w:val="806000" w:themeColor="accent4" w:themeShade="80"/>
          <w:sz w:val="28"/>
        </w:rPr>
        <w:t>infourok.ru</w:t>
      </w:r>
    </w:p>
    <w:sectPr w:rsidR="00E93C01" w:rsidRPr="00A9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F5"/>
    <w:rsid w:val="00216145"/>
    <w:rsid w:val="00840428"/>
    <w:rsid w:val="00A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91BC"/>
  <w15:chartTrackingRefBased/>
  <w15:docId w15:val="{7F844D27-C349-4B73-AAE9-CE41F40D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2021-11-16T09:08:00Z</dcterms:created>
  <dcterms:modified xsi:type="dcterms:W3CDTF">2021-11-16T09:13:00Z</dcterms:modified>
</cp:coreProperties>
</file>